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0F84" w:rsidRPr="007B5717" w:rsidRDefault="00800F84" w:rsidP="00800F84">
      <w:pPr>
        <w:spacing w:before="120" w:after="0"/>
        <w:jc w:val="both"/>
        <w:rPr>
          <w:rFonts w:eastAsia="Times New Roman" w:cs="Times New Roman"/>
          <w:b/>
          <w:bCs/>
          <w:iCs/>
          <w:color w:val="0033CC"/>
          <w:sz w:val="24"/>
          <w:szCs w:val="24"/>
        </w:rPr>
      </w:pPr>
      <w:r w:rsidRPr="007B5717">
        <w:rPr>
          <w:rFonts w:eastAsia="Times New Roman" w:cs="Times New Roman"/>
          <w:b/>
          <w:bCs/>
          <w:iCs/>
          <w:color w:val="0033CC"/>
          <w:sz w:val="24"/>
          <w:szCs w:val="24"/>
        </w:rPr>
        <w:t>2. Tại sao nói “Tập trung dân chủ là nguyên tắc cơ bản trong tổ chức và hoạt động của đảng cộng sản”?</w:t>
      </w:r>
    </w:p>
    <w:p w:rsidR="00611EBC" w:rsidRPr="007B5717" w:rsidRDefault="00800F84" w:rsidP="004203AA">
      <w:pPr>
        <w:spacing w:before="120" w:after="0"/>
        <w:ind w:firstLine="720"/>
        <w:jc w:val="both"/>
        <w:rPr>
          <w:rFonts w:eastAsia="Times New Roman" w:cs="Times New Roman"/>
          <w:b/>
          <w:bCs/>
          <w:iCs/>
          <w:color w:val="0033CC"/>
          <w:sz w:val="24"/>
          <w:szCs w:val="24"/>
        </w:rPr>
      </w:pPr>
      <w:r w:rsidRPr="007B5717">
        <w:rPr>
          <w:rFonts w:eastAsia="Times New Roman" w:cs="Times New Roman"/>
          <w:b/>
          <w:bCs/>
          <w:iCs/>
          <w:color w:val="0033CC"/>
          <w:sz w:val="24"/>
          <w:szCs w:val="24"/>
        </w:rPr>
        <w:t>“Tập trung dân chủ là nguyên tắc cơ bản trong tổ chức và hoạt động của đảng cộng sản”</w:t>
      </w:r>
      <w:r w:rsidR="00DD4C74" w:rsidRPr="007B5717">
        <w:rPr>
          <w:rFonts w:eastAsia="Times New Roman" w:cs="Times New Roman"/>
          <w:color w:val="0033CC"/>
          <w:sz w:val="24"/>
          <w:szCs w:val="24"/>
        </w:rPr>
        <w:t xml:space="preserve"> có thể giải thích gọn là nguyên tắc quy định mọi công việc của Đảng đều phải đưa </w:t>
      </w:r>
      <w:r w:rsidRPr="007B5717">
        <w:rPr>
          <w:rFonts w:eastAsia="Times New Roman" w:cs="Times New Roman"/>
          <w:color w:val="0033CC"/>
          <w:sz w:val="24"/>
          <w:szCs w:val="24"/>
        </w:rPr>
        <w:t xml:space="preserve">ra </w:t>
      </w:r>
      <w:r w:rsidR="00DD4C74" w:rsidRPr="007B5717">
        <w:rPr>
          <w:rFonts w:eastAsia="Times New Roman" w:cs="Times New Roman"/>
          <w:color w:val="0033CC"/>
          <w:sz w:val="24"/>
          <w:szCs w:val="24"/>
        </w:rPr>
        <w:t xml:space="preserve">cho toàn thể đảng viên bàn bạc một cách hoàn toàn dân chủ, rồi tập trung mọi ý chí và hành động của từng </w:t>
      </w:r>
      <w:r w:rsidRPr="007B5717">
        <w:rPr>
          <w:rFonts w:eastAsia="Times New Roman" w:cs="Times New Roman"/>
          <w:color w:val="0033CC"/>
          <w:sz w:val="24"/>
          <w:szCs w:val="24"/>
        </w:rPr>
        <w:t xml:space="preserve">chi bộ, </w:t>
      </w:r>
      <w:r w:rsidR="00DD4C74" w:rsidRPr="007B5717">
        <w:rPr>
          <w:rFonts w:eastAsia="Times New Roman" w:cs="Times New Roman"/>
          <w:color w:val="0033CC"/>
          <w:sz w:val="24"/>
          <w:szCs w:val="24"/>
        </w:rPr>
        <w:t xml:space="preserve">đảng bộ cho tới đảng viên trong toàn Đảng vào các trung tâm lãnh đạo của từng cấp. </w:t>
      </w:r>
      <w:r w:rsidR="00DD4C74" w:rsidRPr="007B5717">
        <w:rPr>
          <w:rFonts w:eastAsia="Times New Roman" w:cs="Times New Roman"/>
          <w:b/>
          <w:bCs/>
          <w:color w:val="0033CC"/>
          <w:sz w:val="24"/>
          <w:szCs w:val="24"/>
        </w:rPr>
        <w:t>Những</w:t>
      </w:r>
      <w:r w:rsidR="00DD4C74" w:rsidRPr="007B5717">
        <w:rPr>
          <w:rFonts w:eastAsia="Times New Roman" w:cs="Times New Roman"/>
          <w:color w:val="0033CC"/>
          <w:sz w:val="24"/>
          <w:szCs w:val="24"/>
        </w:rPr>
        <w:t xml:space="preserve"> </w:t>
      </w:r>
      <w:r w:rsidR="00DD4C74" w:rsidRPr="007B5717">
        <w:rPr>
          <w:rFonts w:eastAsia="Times New Roman" w:cs="Times New Roman"/>
          <w:b/>
          <w:bCs/>
          <w:color w:val="0033CC"/>
          <w:sz w:val="24"/>
          <w:szCs w:val="24"/>
        </w:rPr>
        <w:t xml:space="preserve">trung tâm đó không bao giờ là một cá nhân mà là một tập thể đã được toàn thể đảng viên trong </w:t>
      </w:r>
      <w:r w:rsidRPr="007B5717">
        <w:rPr>
          <w:rFonts w:eastAsia="Times New Roman" w:cs="Times New Roman"/>
          <w:b/>
          <w:bCs/>
          <w:color w:val="0033CC"/>
          <w:sz w:val="24"/>
          <w:szCs w:val="24"/>
        </w:rPr>
        <w:t xml:space="preserve">chi bộ, </w:t>
      </w:r>
      <w:r w:rsidR="00DD4C74" w:rsidRPr="007B5717">
        <w:rPr>
          <w:rFonts w:eastAsia="Times New Roman" w:cs="Times New Roman"/>
          <w:b/>
          <w:bCs/>
          <w:color w:val="0033CC"/>
          <w:sz w:val="24"/>
          <w:szCs w:val="24"/>
        </w:rPr>
        <w:t>đảng bộ lựa chọn và bầu cử bằng phiếu kín,</w:t>
      </w:r>
      <w:r w:rsidR="00DD4C74" w:rsidRPr="007B5717">
        <w:rPr>
          <w:rFonts w:eastAsia="Times New Roman" w:cs="Times New Roman"/>
          <w:color w:val="0033CC"/>
          <w:sz w:val="24"/>
          <w:szCs w:val="24"/>
        </w:rPr>
        <w:t xml:space="preserve"> </w:t>
      </w:r>
      <w:r w:rsidR="00DD4C74" w:rsidRPr="007B5717">
        <w:rPr>
          <w:rFonts w:eastAsia="Times New Roman" w:cs="Times New Roman"/>
          <w:b/>
          <w:bCs/>
          <w:color w:val="0033CC"/>
          <w:sz w:val="24"/>
          <w:szCs w:val="24"/>
        </w:rPr>
        <w:t>không chịu áp lực của bất cứ thế lực nào</w:t>
      </w:r>
      <w:r w:rsidR="00611EBC" w:rsidRPr="007B5717">
        <w:rPr>
          <w:rFonts w:eastAsia="Times New Roman" w:cs="Times New Roman"/>
          <w:color w:val="0033CC"/>
          <w:sz w:val="24"/>
          <w:szCs w:val="24"/>
        </w:rPr>
        <w:t>.</w:t>
      </w:r>
    </w:p>
    <w:p w:rsidR="00800F84" w:rsidRPr="007B5717" w:rsidRDefault="00DD4C74" w:rsidP="00C3449A">
      <w:pPr>
        <w:spacing w:before="120" w:after="0"/>
        <w:ind w:firstLine="720"/>
        <w:jc w:val="both"/>
        <w:rPr>
          <w:rFonts w:eastAsia="Times New Roman" w:cs="Times New Roman"/>
          <w:color w:val="0033CC"/>
          <w:sz w:val="24"/>
          <w:szCs w:val="24"/>
        </w:rPr>
      </w:pPr>
      <w:r w:rsidRPr="007B5717">
        <w:rPr>
          <w:rFonts w:eastAsia="Times New Roman" w:cs="Times New Roman"/>
          <w:color w:val="0033CC"/>
          <w:sz w:val="24"/>
          <w:szCs w:val="24"/>
        </w:rPr>
        <w:t xml:space="preserve">Nguyên tắc tổ chức cơ bản đó khi vận dụng vào từng hoạt động cụ thể, từ việc kết nạp đảng viên, thảo luận và quyết định công việc của Đảng, phân công công tác trong các cấp uỷ, xét kỷ luật đảng viên... đều chuyển thành các nguyên tắc cụ thể, không cho phép bất cứ cá nhân nào thao túng để mưu tính lợi riêng. Muốn xin vào Đảng, dù là ai, nếu không được tổ chức chính trị - xã hội ở cơ sở tín nhiệm, thừa nhận là cảm tình Đảng, có trình độ giác ngộ nhất định, có phẩm chất và năng lực, được ban chấp hành các đoàn thể và đảng viên cũ giới thiệu thì có "thần thế" đến đâu cũng không ép được cả một chi bộ biểu quyết đồng ý kết nạp vào Đảng. Thảo luận công việc thì hoàn toàn tự do, không ai cấm ai được nói hết ý của mình nhưng khi biểu quyết </w:t>
      </w:r>
      <w:r w:rsidRPr="007B5717">
        <w:rPr>
          <w:rFonts w:eastAsia="Times New Roman" w:cs="Times New Roman"/>
          <w:b/>
          <w:bCs/>
          <w:color w:val="0033CC"/>
          <w:sz w:val="24"/>
          <w:szCs w:val="24"/>
        </w:rPr>
        <w:t>thì thiểu số phải phục tùng đa số</w:t>
      </w:r>
      <w:r w:rsidRPr="007B5717">
        <w:rPr>
          <w:rFonts w:eastAsia="Times New Roman" w:cs="Times New Roman"/>
          <w:color w:val="0033CC"/>
          <w:sz w:val="24"/>
          <w:szCs w:val="24"/>
        </w:rPr>
        <w:t>, có biên bản ghi chép và được đọc lại cho toàn chi bộ nghe rõ. Ai cần bảo lưu ý kiến được ghi v</w:t>
      </w:r>
      <w:bookmarkStart w:id="0" w:name="_GoBack"/>
      <w:bookmarkEnd w:id="0"/>
      <w:r w:rsidRPr="007B5717">
        <w:rPr>
          <w:rFonts w:eastAsia="Times New Roman" w:cs="Times New Roman"/>
          <w:color w:val="0033CC"/>
          <w:sz w:val="24"/>
          <w:szCs w:val="24"/>
        </w:rPr>
        <w:t xml:space="preserve">ào biên bản, báo cáo cấp trên xem xét. </w:t>
      </w:r>
      <w:r w:rsidRPr="007B5717">
        <w:rPr>
          <w:rFonts w:eastAsia="Times New Roman" w:cs="Times New Roman"/>
          <w:b/>
          <w:bCs/>
          <w:color w:val="0033CC"/>
          <w:sz w:val="24"/>
          <w:szCs w:val="24"/>
        </w:rPr>
        <w:t>Nguyên tắc "tập trung dân chủ" không cho phép bất cứ đảng viên nào được nói và làm trái nghị quyết chung</w:t>
      </w:r>
      <w:r w:rsidRPr="007B5717">
        <w:rPr>
          <w:rFonts w:eastAsia="Times New Roman" w:cs="Times New Roman"/>
          <w:color w:val="0033CC"/>
          <w:sz w:val="24"/>
          <w:szCs w:val="24"/>
        </w:rPr>
        <w:t>. Khi cấp uỷ bàn bạc để triển khai nghị quyết của Đảng bộ thì phải thực hiện "</w:t>
      </w:r>
      <w:r w:rsidRPr="007B5717">
        <w:rPr>
          <w:rFonts w:eastAsia="Times New Roman" w:cs="Times New Roman"/>
          <w:b/>
          <w:bCs/>
          <w:color w:val="0033CC"/>
          <w:sz w:val="24"/>
          <w:szCs w:val="24"/>
        </w:rPr>
        <w:t>Tập thể lãnh đạo, cá nhân phụ trách</w:t>
      </w:r>
      <w:r w:rsidR="00800F84" w:rsidRPr="007B5717">
        <w:rPr>
          <w:rFonts w:eastAsia="Times New Roman" w:cs="Times New Roman"/>
          <w:color w:val="0033CC"/>
          <w:sz w:val="24"/>
          <w:szCs w:val="24"/>
        </w:rPr>
        <w:t>".</w:t>
      </w:r>
    </w:p>
    <w:p w:rsidR="00DD4C74" w:rsidRPr="007B5717" w:rsidRDefault="00DD4C74" w:rsidP="00C3449A">
      <w:pPr>
        <w:spacing w:before="120" w:after="0"/>
        <w:ind w:firstLine="720"/>
        <w:jc w:val="both"/>
        <w:rPr>
          <w:rFonts w:eastAsia="Times New Roman" w:cs="Times New Roman"/>
          <w:color w:val="0033CC"/>
          <w:sz w:val="24"/>
          <w:szCs w:val="24"/>
        </w:rPr>
      </w:pPr>
      <w:r w:rsidRPr="007B5717">
        <w:rPr>
          <w:rFonts w:eastAsia="Times New Roman" w:cs="Times New Roman"/>
          <w:color w:val="0033CC"/>
          <w:sz w:val="24"/>
          <w:szCs w:val="24"/>
        </w:rPr>
        <w:t xml:space="preserve">Mối quan hệ trong nội bộ Đảng thì </w:t>
      </w:r>
      <w:r w:rsidRPr="007B5717">
        <w:rPr>
          <w:rFonts w:eastAsia="Times New Roman" w:cs="Times New Roman"/>
          <w:b/>
          <w:bCs/>
          <w:color w:val="0033CC"/>
          <w:sz w:val="24"/>
          <w:szCs w:val="24"/>
        </w:rPr>
        <w:t>cá nhân phải phục tùng tổ chức, cấp dưới phải phục tùng cấp trên, địa phương phải phục tùng Trung ương, toàn Đảng phải phục tùng đại hội. Giữa 2 nhiệm kỳ đại hội là cấp uỷ từng cấp do Đại hội bầu ra...</w:t>
      </w:r>
      <w:r w:rsidRPr="007B5717">
        <w:rPr>
          <w:rFonts w:eastAsia="Times New Roman" w:cs="Times New Roman"/>
          <w:color w:val="0033CC"/>
          <w:sz w:val="24"/>
          <w:szCs w:val="24"/>
        </w:rPr>
        <w:t xml:space="preserve"> Do từng đảng viên được giáo dục điều lệ, hiểu rõ từng phần của nguyên tắc tổ chức cơ bản, những đảng bộ giữ vững nguyên tắc tổ chức thường rất ít khi phát sinh các vấn đề phức tạp. Khi xảy ra hiện tượng đột xuất mà giải quyết đúng nguyên tắc tổ chức đều không gây nên hậu quả gì nghiêm trọng. Qua màng lưới sàng lọc đó, không một thiên hướng cơ hội chủ nghĩa nào có thể đứng vững. Đó là thực tiễn mà tác giả đã tự thân trải nghiệm trong suốt 65 năm sinh hoạt Đảng đều đặn, qua rất nhiều đảng bộ từ dân sự đến quân sự, ở nhiều cấp bộ, vùng miền, không phải là lý thuyết.</w:t>
      </w:r>
    </w:p>
    <w:p w:rsidR="00DD4C74" w:rsidRPr="007B5717" w:rsidRDefault="00DD4C74" w:rsidP="00C3449A">
      <w:pPr>
        <w:spacing w:before="120" w:after="0"/>
        <w:ind w:firstLine="720"/>
        <w:jc w:val="both"/>
        <w:rPr>
          <w:rFonts w:eastAsia="Times New Roman" w:cs="Times New Roman"/>
          <w:color w:val="0033CC"/>
          <w:sz w:val="24"/>
          <w:szCs w:val="24"/>
        </w:rPr>
      </w:pPr>
      <w:r w:rsidRPr="007B5717">
        <w:rPr>
          <w:rFonts w:eastAsia="Times New Roman" w:cs="Times New Roman"/>
          <w:color w:val="0033CC"/>
          <w:sz w:val="24"/>
          <w:szCs w:val="24"/>
        </w:rPr>
        <w:t xml:space="preserve">Tập trung dân chủ là nguyên tắc tổ chức xương sống rất ưu việt của đảng cộng sản. </w:t>
      </w:r>
      <w:r w:rsidRPr="007B5717">
        <w:rPr>
          <w:rFonts w:eastAsia="Times New Roman" w:cs="Times New Roman"/>
          <w:b/>
          <w:bCs/>
          <w:i/>
          <w:iCs/>
          <w:color w:val="0033CC"/>
          <w:sz w:val="24"/>
          <w:szCs w:val="24"/>
        </w:rPr>
        <w:t>Tập trung dân chủ là một "pháp bảo" về “tổ chức chính đảng kiểu mới của giai cấp công nhân”, tổng kết từ lịch sử đấu tranh gian khổ của phong trào XHCN trên toàn thế giới.</w:t>
      </w:r>
      <w:r w:rsidRPr="007B5717">
        <w:rPr>
          <w:rFonts w:eastAsia="Times New Roman" w:cs="Times New Roman"/>
          <w:color w:val="0033CC"/>
          <w:sz w:val="24"/>
          <w:szCs w:val="24"/>
        </w:rPr>
        <w:t xml:space="preserve"> </w:t>
      </w:r>
    </w:p>
    <w:p w:rsidR="00921E5E" w:rsidRPr="007B5717" w:rsidRDefault="00DD4C74" w:rsidP="00C3449A">
      <w:pPr>
        <w:spacing w:before="120" w:after="0"/>
        <w:ind w:firstLine="720"/>
        <w:jc w:val="both"/>
        <w:rPr>
          <w:rFonts w:eastAsia="Times New Roman" w:cs="Times New Roman"/>
          <w:color w:val="0033CC"/>
          <w:sz w:val="24"/>
          <w:szCs w:val="24"/>
        </w:rPr>
      </w:pPr>
      <w:r w:rsidRPr="007B5717">
        <w:rPr>
          <w:rFonts w:eastAsia="Times New Roman" w:cs="Times New Roman"/>
          <w:color w:val="0033CC"/>
          <w:sz w:val="24"/>
          <w:szCs w:val="24"/>
        </w:rPr>
        <w:t>"Tập trung dân chủ" không phải là nguyên tắc tổ chức riêng của Đảng Cộng sản Việt Nam mà là nguyên tắc tổ chức cơ bản rút ra từ “học thuyết xây dựng Đảng kiểu mới” của Lênin, tổng kết kinh nghiệm suốt từ cuộc vận động cách mạng đầu tiên của K.Marx và F.Engels, trải qua 2 tổ chức quốc tế tới cuộc đấu tranh thành lập Quốc tế Cộng sản, gắn với cuộc đấu tranh chống phái menchevik trong đảng CNDCXH Nga để thành lập ĐCS Nga</w:t>
      </w:r>
      <w:r w:rsidR="00B91065" w:rsidRPr="007B5717">
        <w:rPr>
          <w:rFonts w:eastAsia="Times New Roman" w:cs="Times New Roman"/>
          <w:color w:val="0033CC"/>
          <w:sz w:val="24"/>
          <w:szCs w:val="24"/>
        </w:rPr>
        <w:t>.</w:t>
      </w:r>
    </w:p>
    <w:p w:rsidR="00B91065" w:rsidRPr="007B5717" w:rsidRDefault="00DD4C74" w:rsidP="00B91065">
      <w:pPr>
        <w:spacing w:before="120" w:after="0"/>
        <w:ind w:firstLine="720"/>
        <w:jc w:val="both"/>
        <w:rPr>
          <w:rFonts w:eastAsia="Times New Roman" w:cs="Times New Roman"/>
          <w:color w:val="0033CC"/>
          <w:sz w:val="24"/>
          <w:szCs w:val="24"/>
        </w:rPr>
      </w:pPr>
      <w:r w:rsidRPr="007B5717">
        <w:rPr>
          <w:rFonts w:eastAsia="Times New Roman" w:cs="Times New Roman"/>
          <w:color w:val="0033CC"/>
          <w:sz w:val="24"/>
          <w:szCs w:val="24"/>
        </w:rPr>
        <w:t xml:space="preserve">Nguyên tắc tập trung dân chủ được nhiều đảng cộng sản đưa vào điều lệ đã đóng góp đắc lực vào việc ổn định nội bộ của các đảng, tạo ra sự nhất trí đủ sức vượt qua những thời kỳ phong ba bão táp mà vẫn không bị phân liệt. Khi đã vứt bỏ nguyên tắc “tập trung dân chủ” thì dù Đảng có thành tích đầy mình cũng không tránh khỏi đổ vỡ. </w:t>
      </w:r>
    </w:p>
    <w:p w:rsidR="00B91065" w:rsidRPr="007B5717" w:rsidRDefault="00B91065" w:rsidP="00B91065">
      <w:pPr>
        <w:shd w:val="clear" w:color="auto" w:fill="FFFFFF"/>
        <w:spacing w:before="120" w:after="0"/>
        <w:ind w:firstLine="720"/>
        <w:jc w:val="both"/>
        <w:rPr>
          <w:rFonts w:eastAsia="Times New Roman" w:cs="Times New Roman"/>
          <w:color w:val="0033CC"/>
          <w:sz w:val="24"/>
          <w:szCs w:val="24"/>
        </w:rPr>
      </w:pPr>
      <w:r w:rsidRPr="007B5717">
        <w:rPr>
          <w:rFonts w:eastAsia="Times New Roman" w:cs="Times New Roman"/>
          <w:color w:val="0033CC"/>
          <w:sz w:val="24"/>
          <w:szCs w:val="24"/>
        </w:rPr>
        <w:t>Tóm lại, Đảng Cộng sản được tổ chức theo nguyên tắc tập trung dân chủ (TTDC), tập thể lãnh đạo, cá nhân phụ trách. Đây là nguyên tắc cơ bản trong tổ chức và sinh hoạt của một đảng cách mạng chân chính, là nền tảng của sự nghiệp xây dựng Đảng, được V.I. Lê-nin xác định trong học thuyết về xây dựng Đảng kiểu mới của giai cấp vô sản. Giữ vững nguyên tắc TTDC là thể hiện bản chất cách mạng khoa học, đảm bảo cho Đảng luôn vững mạnh cả về chính trị, tư tưởng và tổ chức. Đó cũng là tiêu chí phân biệt giữa Đảng Cộng sản chân chính với các đảng chính trị khác. Chủ tịch Hồ Chí Minh coi TTDC là nguyên tắc cơ bản trong tổ chức và hoạt động của Đảng ta; yếu tố quan trọng để Đảng không ngừng chỉnh đốn, đổi mới và phát triển. Theo Người, tập trung và dân chủ phải luôn luôn đi đôi với nhau; dân chủ phải đi đến tập trung và tập trung trên cơ sở dân chủ.</w:t>
      </w:r>
    </w:p>
    <w:p w:rsidR="00B91065" w:rsidRPr="007B5717" w:rsidRDefault="00B91065" w:rsidP="00611EBC">
      <w:pPr>
        <w:spacing w:before="120" w:after="0"/>
        <w:jc w:val="both"/>
        <w:rPr>
          <w:rFonts w:eastAsia="Times New Roman" w:cs="Times New Roman"/>
          <w:color w:val="0033CC"/>
          <w:sz w:val="24"/>
          <w:szCs w:val="24"/>
        </w:rPr>
      </w:pPr>
    </w:p>
    <w:sectPr w:rsidR="00B91065" w:rsidRPr="007B5717" w:rsidSect="00611EBC">
      <w:pgSz w:w="11907" w:h="16840" w:code="9"/>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C74"/>
    <w:rsid w:val="00085C98"/>
    <w:rsid w:val="004203AA"/>
    <w:rsid w:val="00611EBC"/>
    <w:rsid w:val="00711C32"/>
    <w:rsid w:val="007558DE"/>
    <w:rsid w:val="007A6CE9"/>
    <w:rsid w:val="007B5717"/>
    <w:rsid w:val="00800F84"/>
    <w:rsid w:val="00921E5E"/>
    <w:rsid w:val="00B30D8B"/>
    <w:rsid w:val="00B830AE"/>
    <w:rsid w:val="00B91065"/>
    <w:rsid w:val="00C3449A"/>
    <w:rsid w:val="00D072A8"/>
    <w:rsid w:val="00DD4C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70BF63-1EEC-4D10-AF15-CC7919488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30D8B"/>
    <w:pPr>
      <w:spacing w:before="100" w:beforeAutospacing="1" w:after="100" w:afterAutospacing="1"/>
    </w:pPr>
    <w:rPr>
      <w:rFonts w:eastAsia="Times New Roman" w:cs="Times New Roman"/>
      <w:sz w:val="24"/>
      <w:szCs w:val="24"/>
    </w:rPr>
  </w:style>
  <w:style w:type="character" w:styleId="Emphasis">
    <w:name w:val="Emphasis"/>
    <w:basedOn w:val="DefaultParagraphFont"/>
    <w:uiPriority w:val="20"/>
    <w:qFormat/>
    <w:rsid w:val="007A6CE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874431">
      <w:bodyDiv w:val="1"/>
      <w:marLeft w:val="0"/>
      <w:marRight w:val="0"/>
      <w:marTop w:val="0"/>
      <w:marBottom w:val="0"/>
      <w:divBdr>
        <w:top w:val="none" w:sz="0" w:space="0" w:color="auto"/>
        <w:left w:val="none" w:sz="0" w:space="0" w:color="auto"/>
        <w:bottom w:val="none" w:sz="0" w:space="0" w:color="auto"/>
        <w:right w:val="none" w:sz="0" w:space="0" w:color="auto"/>
      </w:divBdr>
      <w:divsChild>
        <w:div w:id="1100640638">
          <w:marLeft w:val="0"/>
          <w:marRight w:val="0"/>
          <w:marTop w:val="0"/>
          <w:marBottom w:val="0"/>
          <w:divBdr>
            <w:top w:val="none" w:sz="0" w:space="0" w:color="auto"/>
            <w:left w:val="none" w:sz="0" w:space="0" w:color="auto"/>
            <w:bottom w:val="none" w:sz="0" w:space="0" w:color="auto"/>
            <w:right w:val="none" w:sz="0" w:space="0" w:color="auto"/>
          </w:divBdr>
          <w:divsChild>
            <w:div w:id="1015419517">
              <w:marLeft w:val="0"/>
              <w:marRight w:val="0"/>
              <w:marTop w:val="0"/>
              <w:marBottom w:val="0"/>
              <w:divBdr>
                <w:top w:val="none" w:sz="0" w:space="0" w:color="auto"/>
                <w:left w:val="none" w:sz="0" w:space="0" w:color="auto"/>
                <w:bottom w:val="none" w:sz="0" w:space="0" w:color="auto"/>
                <w:right w:val="none" w:sz="0" w:space="0" w:color="auto"/>
              </w:divBdr>
              <w:divsChild>
                <w:div w:id="55242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047107">
      <w:bodyDiv w:val="1"/>
      <w:marLeft w:val="0"/>
      <w:marRight w:val="0"/>
      <w:marTop w:val="0"/>
      <w:marBottom w:val="0"/>
      <w:divBdr>
        <w:top w:val="none" w:sz="0" w:space="0" w:color="auto"/>
        <w:left w:val="none" w:sz="0" w:space="0" w:color="auto"/>
        <w:bottom w:val="none" w:sz="0" w:space="0" w:color="auto"/>
        <w:right w:val="none" w:sz="0" w:space="0" w:color="auto"/>
      </w:divBdr>
      <w:divsChild>
        <w:div w:id="823548013">
          <w:marLeft w:val="0"/>
          <w:marRight w:val="0"/>
          <w:marTop w:val="0"/>
          <w:marBottom w:val="0"/>
          <w:divBdr>
            <w:top w:val="none" w:sz="0" w:space="0" w:color="auto"/>
            <w:left w:val="none" w:sz="0" w:space="0" w:color="auto"/>
            <w:bottom w:val="none" w:sz="0" w:space="0" w:color="auto"/>
            <w:right w:val="none" w:sz="0" w:space="0" w:color="auto"/>
          </w:divBdr>
          <w:divsChild>
            <w:div w:id="1914460865">
              <w:marLeft w:val="60"/>
              <w:marRight w:val="0"/>
              <w:marTop w:val="0"/>
              <w:marBottom w:val="0"/>
              <w:divBdr>
                <w:top w:val="none" w:sz="0" w:space="0" w:color="auto"/>
                <w:left w:val="none" w:sz="0" w:space="0" w:color="auto"/>
                <w:bottom w:val="none" w:sz="0" w:space="0" w:color="auto"/>
                <w:right w:val="none" w:sz="0" w:space="0" w:color="auto"/>
              </w:divBdr>
              <w:divsChild>
                <w:div w:id="1866554571">
                  <w:marLeft w:val="0"/>
                  <w:marRight w:val="0"/>
                  <w:marTop w:val="0"/>
                  <w:marBottom w:val="0"/>
                  <w:divBdr>
                    <w:top w:val="none" w:sz="0" w:space="0" w:color="auto"/>
                    <w:left w:val="none" w:sz="0" w:space="0" w:color="auto"/>
                    <w:bottom w:val="none" w:sz="0" w:space="0" w:color="auto"/>
                    <w:right w:val="none" w:sz="0" w:space="0" w:color="auto"/>
                  </w:divBdr>
                  <w:divsChild>
                    <w:div w:id="1871070626">
                      <w:marLeft w:val="0"/>
                      <w:marRight w:val="0"/>
                      <w:marTop w:val="0"/>
                      <w:marBottom w:val="0"/>
                      <w:divBdr>
                        <w:top w:val="none" w:sz="0" w:space="0" w:color="auto"/>
                        <w:left w:val="none" w:sz="0" w:space="0" w:color="auto"/>
                        <w:bottom w:val="none" w:sz="0" w:space="0" w:color="auto"/>
                        <w:right w:val="none" w:sz="0" w:space="0" w:color="auto"/>
                      </w:divBdr>
                      <w:divsChild>
                        <w:div w:id="1679506022">
                          <w:marLeft w:val="270"/>
                          <w:marRight w:val="0"/>
                          <w:marTop w:val="0"/>
                          <w:marBottom w:val="0"/>
                          <w:divBdr>
                            <w:top w:val="none" w:sz="0" w:space="0" w:color="auto"/>
                            <w:left w:val="none" w:sz="0" w:space="0" w:color="auto"/>
                            <w:bottom w:val="none" w:sz="0" w:space="0" w:color="auto"/>
                            <w:right w:val="none" w:sz="0" w:space="0" w:color="auto"/>
                          </w:divBdr>
                          <w:divsChild>
                            <w:div w:id="796025859">
                              <w:marLeft w:val="0"/>
                              <w:marRight w:val="0"/>
                              <w:marTop w:val="0"/>
                              <w:marBottom w:val="0"/>
                              <w:divBdr>
                                <w:top w:val="none" w:sz="0" w:space="0" w:color="auto"/>
                                <w:left w:val="none" w:sz="0" w:space="0" w:color="auto"/>
                                <w:bottom w:val="none" w:sz="0" w:space="0" w:color="auto"/>
                                <w:right w:val="none" w:sz="0" w:space="0" w:color="auto"/>
                              </w:divBdr>
                              <w:divsChild>
                                <w:div w:id="1173911763">
                                  <w:marLeft w:val="0"/>
                                  <w:marRight w:val="0"/>
                                  <w:marTop w:val="105"/>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664</Words>
  <Characters>3790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TienNhan</dc:creator>
  <cp:keywords/>
  <dc:description/>
  <cp:lastModifiedBy>Tien Nhan</cp:lastModifiedBy>
  <cp:revision>11</cp:revision>
  <dcterms:created xsi:type="dcterms:W3CDTF">2015-09-19T09:04:00Z</dcterms:created>
  <dcterms:modified xsi:type="dcterms:W3CDTF">2015-10-02T07:46:00Z</dcterms:modified>
</cp:coreProperties>
</file>